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700FE" w14:textId="77777777" w:rsidR="001523EA" w:rsidRPr="001523EA" w:rsidRDefault="001523EA" w:rsidP="001523EA">
      <w:pPr>
        <w:jc w:val="center"/>
        <w:rPr>
          <w:b/>
          <w:bCs/>
          <w:sz w:val="48"/>
          <w:szCs w:val="48"/>
        </w:rPr>
      </w:pPr>
      <w:r w:rsidRPr="001523EA">
        <w:rPr>
          <w:b/>
          <w:bCs/>
          <w:sz w:val="48"/>
          <w:szCs w:val="48"/>
        </w:rPr>
        <w:t>Acid/Metal Separation</w:t>
      </w:r>
    </w:p>
    <w:p w14:paraId="53EED3C0" w14:textId="0DC52E7C" w:rsidR="00D95219" w:rsidRPr="001523EA" w:rsidRDefault="001523EA">
      <w:pPr>
        <w:rPr>
          <w:sz w:val="24"/>
          <w:szCs w:val="24"/>
        </w:rPr>
      </w:pPr>
      <w:r w:rsidRPr="001523EA">
        <w:rPr>
          <w:sz w:val="24"/>
          <w:szCs w:val="24"/>
        </w:rPr>
        <w:t xml:space="preserve">The </w:t>
      </w:r>
      <w:proofErr w:type="spellStart"/>
      <w:r w:rsidRPr="001523EA">
        <w:rPr>
          <w:sz w:val="24"/>
          <w:szCs w:val="24"/>
        </w:rPr>
        <w:t>Scanacon</w:t>
      </w:r>
      <w:proofErr w:type="spellEnd"/>
      <w:r w:rsidRPr="001523EA">
        <w:rPr>
          <w:sz w:val="24"/>
          <w:szCs w:val="24"/>
        </w:rPr>
        <w:t xml:space="preserve"> </w:t>
      </w:r>
      <w:proofErr w:type="spellStart"/>
      <w:r w:rsidRPr="001523EA">
        <w:rPr>
          <w:sz w:val="24"/>
          <w:szCs w:val="24"/>
        </w:rPr>
        <w:t>ModuFlex</w:t>
      </w:r>
      <w:proofErr w:type="spellEnd"/>
      <w:r w:rsidRPr="001523EA">
        <w:rPr>
          <w:sz w:val="24"/>
          <w:szCs w:val="24"/>
        </w:rPr>
        <w:t xml:space="preserve"> or </w:t>
      </w:r>
      <w:proofErr w:type="spellStart"/>
      <w:r w:rsidRPr="001523EA">
        <w:rPr>
          <w:sz w:val="24"/>
          <w:szCs w:val="24"/>
        </w:rPr>
        <w:t>MiniFlex</w:t>
      </w:r>
      <w:proofErr w:type="spellEnd"/>
      <w:r w:rsidRPr="001523EA">
        <w:rPr>
          <w:sz w:val="24"/>
          <w:szCs w:val="24"/>
        </w:rPr>
        <w:t xml:space="preserve"> </w:t>
      </w:r>
      <w:proofErr w:type="gramStart"/>
      <w:r w:rsidRPr="001523EA">
        <w:rPr>
          <w:sz w:val="24"/>
          <w:szCs w:val="24"/>
        </w:rPr>
        <w:t>acid</w:t>
      </w:r>
      <w:proofErr w:type="gramEnd"/>
      <w:r w:rsidRPr="001523EA">
        <w:rPr>
          <w:sz w:val="24"/>
          <w:szCs w:val="24"/>
        </w:rPr>
        <w:t xml:space="preserve">-Metal separation system (APU) allows for continuous production in acid-metal finishing processes. By continuously removing dissolved metal contaminants, it enables near indefinite reuse of the finishing solution, reducing acid purchases and waste volumes. The system operates in series with a process filtration apparatus and returns a purified solution with limited acid loss (5% to 15%) for reuse. Only water is needed for regeneration, and the waste product is a weakly acidic solution that can be easily neutralized. With over 25 years of experience and a modular design that allows for expansion and redundancy, </w:t>
      </w:r>
      <w:proofErr w:type="spellStart"/>
      <w:r w:rsidRPr="001523EA">
        <w:rPr>
          <w:sz w:val="24"/>
          <w:szCs w:val="24"/>
        </w:rPr>
        <w:t>Scanacon</w:t>
      </w:r>
      <w:proofErr w:type="spellEnd"/>
      <w:r w:rsidRPr="001523EA">
        <w:rPr>
          <w:sz w:val="24"/>
          <w:szCs w:val="24"/>
        </w:rPr>
        <w:t xml:space="preserve"> is the world leader in </w:t>
      </w:r>
      <w:hyperlink r:id="rId4" w:history="1">
        <w:r w:rsidRPr="001523EA">
          <w:rPr>
            <w:rStyle w:val="Hyperlink"/>
            <w:sz w:val="24"/>
            <w:szCs w:val="24"/>
            <w:u w:val="none"/>
          </w:rPr>
          <w:t>acid-Metal separation</w:t>
        </w:r>
      </w:hyperlink>
      <w:r w:rsidRPr="001523EA">
        <w:rPr>
          <w:sz w:val="24"/>
          <w:szCs w:val="24"/>
        </w:rPr>
        <w:t xml:space="preserve"> equipment.</w:t>
      </w:r>
    </w:p>
    <w:p w14:paraId="01E982A6" w14:textId="77777777" w:rsidR="001523EA" w:rsidRPr="001523EA" w:rsidRDefault="001523EA" w:rsidP="001523EA">
      <w:pPr>
        <w:jc w:val="center"/>
        <w:rPr>
          <w:b/>
          <w:bCs/>
          <w:sz w:val="24"/>
          <w:szCs w:val="24"/>
        </w:rPr>
      </w:pPr>
      <w:r w:rsidRPr="001523EA">
        <w:rPr>
          <w:b/>
          <w:bCs/>
          <w:sz w:val="48"/>
          <w:szCs w:val="48"/>
        </w:rPr>
        <w:t>Stainless Steel Markets</w:t>
      </w:r>
    </w:p>
    <w:p w14:paraId="57FFC187" w14:textId="77777777" w:rsidR="001523EA" w:rsidRPr="001523EA" w:rsidRDefault="001523EA" w:rsidP="001523EA">
      <w:pPr>
        <w:rPr>
          <w:b/>
          <w:bCs/>
          <w:sz w:val="24"/>
          <w:szCs w:val="24"/>
        </w:rPr>
      </w:pPr>
      <w:proofErr w:type="spellStart"/>
      <w:r w:rsidRPr="001523EA">
        <w:rPr>
          <w:b/>
          <w:bCs/>
          <w:sz w:val="24"/>
          <w:szCs w:val="24"/>
        </w:rPr>
        <w:t>ModuFlex</w:t>
      </w:r>
      <w:proofErr w:type="spellEnd"/>
    </w:p>
    <w:p w14:paraId="794DE10B" w14:textId="53FA51D0" w:rsidR="001523EA" w:rsidRDefault="001523EA">
      <w:pPr>
        <w:rPr>
          <w:sz w:val="24"/>
          <w:szCs w:val="24"/>
        </w:rPr>
      </w:pPr>
      <w:r w:rsidRPr="001523EA">
        <w:rPr>
          <w:sz w:val="24"/>
          <w:szCs w:val="24"/>
        </w:rPr>
        <w:t xml:space="preserve">The </w:t>
      </w:r>
      <w:proofErr w:type="spellStart"/>
      <w:r w:rsidRPr="001523EA">
        <w:rPr>
          <w:sz w:val="24"/>
          <w:szCs w:val="24"/>
        </w:rPr>
        <w:t>Scanacon</w:t>
      </w:r>
      <w:proofErr w:type="spellEnd"/>
      <w:r w:rsidRPr="001523EA">
        <w:rPr>
          <w:sz w:val="24"/>
          <w:szCs w:val="24"/>
        </w:rPr>
        <w:t xml:space="preserve"> </w:t>
      </w:r>
      <w:proofErr w:type="spellStart"/>
      <w:r w:rsidRPr="001523EA">
        <w:rPr>
          <w:sz w:val="24"/>
          <w:szCs w:val="24"/>
        </w:rPr>
        <w:t>ModuFlex</w:t>
      </w:r>
      <w:proofErr w:type="spellEnd"/>
      <w:r w:rsidRPr="001523EA">
        <w:rPr>
          <w:sz w:val="24"/>
          <w:szCs w:val="24"/>
        </w:rPr>
        <w:t xml:space="preserve"> is a highly efficient acid recovery system designed for a wide range of acid-based finishing processes in the stainless steel and titanium industries. It is specifically intended for hot and cold rolled and finished products, acid milling, etching of cast products, and single acid electrolytic processes.</w:t>
      </w:r>
      <w:r w:rsidRPr="001523EA">
        <w:rPr>
          <w:sz w:val="24"/>
          <w:szCs w:val="24"/>
        </w:rPr>
        <w:br/>
      </w:r>
      <w:r w:rsidRPr="001523EA">
        <w:rPr>
          <w:sz w:val="24"/>
          <w:szCs w:val="24"/>
        </w:rPr>
        <w:br/>
        <w:t>Each modular unit has a maximum capacity of 500 L/hr and can be combined to handle larger flows ranging from 500 L/hr to 2,000 L/hr. This flexibility allows for a scalable solution to meet the specific needs of each application.</w:t>
      </w:r>
      <w:r w:rsidRPr="001523EA">
        <w:rPr>
          <w:sz w:val="24"/>
          <w:szCs w:val="24"/>
        </w:rPr>
        <w:br/>
      </w:r>
      <w:r w:rsidRPr="001523EA">
        <w:rPr>
          <w:sz w:val="24"/>
          <w:szCs w:val="24"/>
        </w:rPr>
        <w:br/>
        <w:t xml:space="preserve">By implementing the </w:t>
      </w:r>
      <w:proofErr w:type="spellStart"/>
      <w:r w:rsidRPr="001523EA">
        <w:rPr>
          <w:sz w:val="24"/>
          <w:szCs w:val="24"/>
        </w:rPr>
        <w:t>ModuFlex</w:t>
      </w:r>
      <w:proofErr w:type="spellEnd"/>
      <w:r w:rsidRPr="001523EA">
        <w:rPr>
          <w:sz w:val="24"/>
          <w:szCs w:val="24"/>
        </w:rPr>
        <w:t xml:space="preserve">, significant benefits can be achieved including improved productivity, reduced energy and resource consumption, decreased chemical use, improved health and safety conditions, improved economics, reduced environmental impact, and improved product quality. These benefits make the </w:t>
      </w:r>
      <w:proofErr w:type="spellStart"/>
      <w:r w:rsidRPr="001523EA">
        <w:rPr>
          <w:sz w:val="24"/>
          <w:szCs w:val="24"/>
        </w:rPr>
        <w:t>ModuFlex</w:t>
      </w:r>
      <w:proofErr w:type="spellEnd"/>
      <w:r w:rsidRPr="001523EA">
        <w:rPr>
          <w:sz w:val="24"/>
          <w:szCs w:val="24"/>
        </w:rPr>
        <w:t xml:space="preserve"> an ideal solution for the </w:t>
      </w:r>
      <w:proofErr w:type="gramStart"/>
      <w:r w:rsidRPr="001523EA">
        <w:rPr>
          <w:sz w:val="24"/>
          <w:szCs w:val="24"/>
        </w:rPr>
        <w:t>stainless steel</w:t>
      </w:r>
      <w:proofErr w:type="gramEnd"/>
      <w:r w:rsidRPr="001523EA">
        <w:rPr>
          <w:sz w:val="24"/>
          <w:szCs w:val="24"/>
        </w:rPr>
        <w:t xml:space="preserve"> market.</w:t>
      </w:r>
    </w:p>
    <w:p w14:paraId="016910D0" w14:textId="47DB86F4" w:rsidR="001523EA" w:rsidRPr="001523EA" w:rsidRDefault="004C7CDF">
      <w:pPr>
        <w:rPr>
          <w:sz w:val="24"/>
          <w:szCs w:val="24"/>
        </w:rPr>
      </w:pPr>
      <w:r w:rsidRPr="004C7CDF">
        <w:rPr>
          <w:sz w:val="24"/>
          <w:szCs w:val="24"/>
        </w:rPr>
        <w:t>Originally published here:</w:t>
      </w:r>
      <w:r>
        <w:rPr>
          <w:sz w:val="24"/>
          <w:szCs w:val="24"/>
        </w:rPr>
        <w:t xml:space="preserve"> </w:t>
      </w:r>
      <w:hyperlink r:id="rId5" w:history="1">
        <w:r w:rsidR="00F57951" w:rsidRPr="00F57951">
          <w:rPr>
            <w:rStyle w:val="Hyperlink"/>
            <w:sz w:val="24"/>
            <w:szCs w:val="24"/>
            <w:u w:val="none"/>
          </w:rPr>
          <w:t>https://scanaconus.com/products/acid-metal-separation/</w:t>
        </w:r>
      </w:hyperlink>
    </w:p>
    <w:sectPr w:rsidR="001523EA" w:rsidRPr="001523E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F9E"/>
    <w:rsid w:val="001523EA"/>
    <w:rsid w:val="003E4F9E"/>
    <w:rsid w:val="004C7CDF"/>
    <w:rsid w:val="00BA4A8F"/>
    <w:rsid w:val="00C17CC3"/>
    <w:rsid w:val="00D56E6D"/>
    <w:rsid w:val="00D74C7D"/>
    <w:rsid w:val="00D95219"/>
    <w:rsid w:val="00F5795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CA1D4"/>
  <w15:chartTrackingRefBased/>
  <w15:docId w15:val="{7AB350C5-7CA9-4613-AF1C-2D8CA62E2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4F9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3E4F9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3E4F9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E4F9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E4F9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E4F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4F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4F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4F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4F9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3E4F9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3E4F9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E4F9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E4F9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E4F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4F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4F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4F9E"/>
    <w:rPr>
      <w:rFonts w:eastAsiaTheme="majorEastAsia" w:cstheme="majorBidi"/>
      <w:color w:val="272727" w:themeColor="text1" w:themeTint="D8"/>
    </w:rPr>
  </w:style>
  <w:style w:type="paragraph" w:styleId="Title">
    <w:name w:val="Title"/>
    <w:basedOn w:val="Normal"/>
    <w:next w:val="Normal"/>
    <w:link w:val="TitleChar"/>
    <w:uiPriority w:val="10"/>
    <w:qFormat/>
    <w:rsid w:val="003E4F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4F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4F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4F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4F9E"/>
    <w:pPr>
      <w:spacing w:before="160"/>
      <w:jc w:val="center"/>
    </w:pPr>
    <w:rPr>
      <w:i/>
      <w:iCs/>
      <w:color w:val="404040" w:themeColor="text1" w:themeTint="BF"/>
    </w:rPr>
  </w:style>
  <w:style w:type="character" w:customStyle="1" w:styleId="QuoteChar">
    <w:name w:val="Quote Char"/>
    <w:basedOn w:val="DefaultParagraphFont"/>
    <w:link w:val="Quote"/>
    <w:uiPriority w:val="29"/>
    <w:rsid w:val="003E4F9E"/>
    <w:rPr>
      <w:i/>
      <w:iCs/>
      <w:color w:val="404040" w:themeColor="text1" w:themeTint="BF"/>
    </w:rPr>
  </w:style>
  <w:style w:type="paragraph" w:styleId="ListParagraph">
    <w:name w:val="List Paragraph"/>
    <w:basedOn w:val="Normal"/>
    <w:uiPriority w:val="34"/>
    <w:qFormat/>
    <w:rsid w:val="003E4F9E"/>
    <w:pPr>
      <w:ind w:left="720"/>
      <w:contextualSpacing/>
    </w:pPr>
  </w:style>
  <w:style w:type="character" w:styleId="IntenseEmphasis">
    <w:name w:val="Intense Emphasis"/>
    <w:basedOn w:val="DefaultParagraphFont"/>
    <w:uiPriority w:val="21"/>
    <w:qFormat/>
    <w:rsid w:val="003E4F9E"/>
    <w:rPr>
      <w:i/>
      <w:iCs/>
      <w:color w:val="2F5496" w:themeColor="accent1" w:themeShade="BF"/>
    </w:rPr>
  </w:style>
  <w:style w:type="paragraph" w:styleId="IntenseQuote">
    <w:name w:val="Intense Quote"/>
    <w:basedOn w:val="Normal"/>
    <w:next w:val="Normal"/>
    <w:link w:val="IntenseQuoteChar"/>
    <w:uiPriority w:val="30"/>
    <w:qFormat/>
    <w:rsid w:val="003E4F9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E4F9E"/>
    <w:rPr>
      <w:i/>
      <w:iCs/>
      <w:color w:val="2F5496" w:themeColor="accent1" w:themeShade="BF"/>
    </w:rPr>
  </w:style>
  <w:style w:type="character" w:styleId="IntenseReference">
    <w:name w:val="Intense Reference"/>
    <w:basedOn w:val="DefaultParagraphFont"/>
    <w:uiPriority w:val="32"/>
    <w:qFormat/>
    <w:rsid w:val="003E4F9E"/>
    <w:rPr>
      <w:b/>
      <w:bCs/>
      <w:smallCaps/>
      <w:color w:val="2F5496" w:themeColor="accent1" w:themeShade="BF"/>
      <w:spacing w:val="5"/>
    </w:rPr>
  </w:style>
  <w:style w:type="character" w:styleId="Hyperlink">
    <w:name w:val="Hyperlink"/>
    <w:basedOn w:val="DefaultParagraphFont"/>
    <w:uiPriority w:val="99"/>
    <w:unhideWhenUsed/>
    <w:rsid w:val="001523EA"/>
    <w:rPr>
      <w:color w:val="0563C1" w:themeColor="hyperlink"/>
      <w:u w:val="single"/>
    </w:rPr>
  </w:style>
  <w:style w:type="character" w:styleId="UnresolvedMention">
    <w:name w:val="Unresolved Mention"/>
    <w:basedOn w:val="DefaultParagraphFont"/>
    <w:uiPriority w:val="99"/>
    <w:semiHidden/>
    <w:unhideWhenUsed/>
    <w:rsid w:val="001523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1582323">
      <w:bodyDiv w:val="1"/>
      <w:marLeft w:val="0"/>
      <w:marRight w:val="0"/>
      <w:marTop w:val="0"/>
      <w:marBottom w:val="0"/>
      <w:divBdr>
        <w:top w:val="none" w:sz="0" w:space="0" w:color="auto"/>
        <w:left w:val="none" w:sz="0" w:space="0" w:color="auto"/>
        <w:bottom w:val="none" w:sz="0" w:space="0" w:color="auto"/>
        <w:right w:val="none" w:sz="0" w:space="0" w:color="auto"/>
      </w:divBdr>
      <w:divsChild>
        <w:div w:id="518929240">
          <w:marLeft w:val="0"/>
          <w:marRight w:val="0"/>
          <w:marTop w:val="0"/>
          <w:marBottom w:val="300"/>
          <w:divBdr>
            <w:top w:val="none" w:sz="0" w:space="0" w:color="auto"/>
            <w:left w:val="none" w:sz="0" w:space="0" w:color="auto"/>
            <w:bottom w:val="none" w:sz="0" w:space="0" w:color="auto"/>
            <w:right w:val="none" w:sz="0" w:space="0" w:color="auto"/>
          </w:divBdr>
          <w:divsChild>
            <w:div w:id="2106731654">
              <w:marLeft w:val="0"/>
              <w:marRight w:val="0"/>
              <w:marTop w:val="0"/>
              <w:marBottom w:val="0"/>
              <w:divBdr>
                <w:top w:val="none" w:sz="0" w:space="0" w:color="auto"/>
                <w:left w:val="none" w:sz="0" w:space="0" w:color="auto"/>
                <w:bottom w:val="none" w:sz="0" w:space="0" w:color="auto"/>
                <w:right w:val="none" w:sz="0" w:space="0" w:color="auto"/>
              </w:divBdr>
            </w:div>
          </w:divsChild>
        </w:div>
        <w:div w:id="1668749094">
          <w:marLeft w:val="0"/>
          <w:marRight w:val="0"/>
          <w:marTop w:val="0"/>
          <w:marBottom w:val="0"/>
          <w:divBdr>
            <w:top w:val="none" w:sz="0" w:space="0" w:color="auto"/>
            <w:left w:val="none" w:sz="0" w:space="0" w:color="auto"/>
            <w:bottom w:val="none" w:sz="0" w:space="0" w:color="auto"/>
            <w:right w:val="none" w:sz="0" w:space="0" w:color="auto"/>
          </w:divBdr>
          <w:divsChild>
            <w:div w:id="96515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956531">
      <w:bodyDiv w:val="1"/>
      <w:marLeft w:val="0"/>
      <w:marRight w:val="0"/>
      <w:marTop w:val="0"/>
      <w:marBottom w:val="0"/>
      <w:divBdr>
        <w:top w:val="none" w:sz="0" w:space="0" w:color="auto"/>
        <w:left w:val="none" w:sz="0" w:space="0" w:color="auto"/>
        <w:bottom w:val="none" w:sz="0" w:space="0" w:color="auto"/>
        <w:right w:val="none" w:sz="0" w:space="0" w:color="auto"/>
      </w:divBdr>
    </w:div>
    <w:div w:id="1338078744">
      <w:bodyDiv w:val="1"/>
      <w:marLeft w:val="0"/>
      <w:marRight w:val="0"/>
      <w:marTop w:val="0"/>
      <w:marBottom w:val="0"/>
      <w:divBdr>
        <w:top w:val="none" w:sz="0" w:space="0" w:color="auto"/>
        <w:left w:val="none" w:sz="0" w:space="0" w:color="auto"/>
        <w:bottom w:val="none" w:sz="0" w:space="0" w:color="auto"/>
        <w:right w:val="none" w:sz="0" w:space="0" w:color="auto"/>
      </w:divBdr>
    </w:div>
    <w:div w:id="1344864669">
      <w:bodyDiv w:val="1"/>
      <w:marLeft w:val="0"/>
      <w:marRight w:val="0"/>
      <w:marTop w:val="0"/>
      <w:marBottom w:val="0"/>
      <w:divBdr>
        <w:top w:val="none" w:sz="0" w:space="0" w:color="auto"/>
        <w:left w:val="none" w:sz="0" w:space="0" w:color="auto"/>
        <w:bottom w:val="none" w:sz="0" w:space="0" w:color="auto"/>
        <w:right w:val="none" w:sz="0" w:space="0" w:color="auto"/>
      </w:divBdr>
    </w:div>
    <w:div w:id="1350521084">
      <w:bodyDiv w:val="1"/>
      <w:marLeft w:val="0"/>
      <w:marRight w:val="0"/>
      <w:marTop w:val="0"/>
      <w:marBottom w:val="0"/>
      <w:divBdr>
        <w:top w:val="none" w:sz="0" w:space="0" w:color="auto"/>
        <w:left w:val="none" w:sz="0" w:space="0" w:color="auto"/>
        <w:bottom w:val="none" w:sz="0" w:space="0" w:color="auto"/>
        <w:right w:val="none" w:sz="0" w:space="0" w:color="auto"/>
      </w:divBdr>
      <w:divsChild>
        <w:div w:id="969632237">
          <w:marLeft w:val="0"/>
          <w:marRight w:val="0"/>
          <w:marTop w:val="0"/>
          <w:marBottom w:val="300"/>
          <w:divBdr>
            <w:top w:val="none" w:sz="0" w:space="0" w:color="auto"/>
            <w:left w:val="none" w:sz="0" w:space="0" w:color="auto"/>
            <w:bottom w:val="none" w:sz="0" w:space="0" w:color="auto"/>
            <w:right w:val="none" w:sz="0" w:space="0" w:color="auto"/>
          </w:divBdr>
          <w:divsChild>
            <w:div w:id="1827814996">
              <w:marLeft w:val="0"/>
              <w:marRight w:val="0"/>
              <w:marTop w:val="0"/>
              <w:marBottom w:val="0"/>
              <w:divBdr>
                <w:top w:val="none" w:sz="0" w:space="0" w:color="auto"/>
                <w:left w:val="none" w:sz="0" w:space="0" w:color="auto"/>
                <w:bottom w:val="none" w:sz="0" w:space="0" w:color="auto"/>
                <w:right w:val="none" w:sz="0" w:space="0" w:color="auto"/>
              </w:divBdr>
            </w:div>
          </w:divsChild>
        </w:div>
        <w:div w:id="1420448856">
          <w:marLeft w:val="0"/>
          <w:marRight w:val="0"/>
          <w:marTop w:val="0"/>
          <w:marBottom w:val="0"/>
          <w:divBdr>
            <w:top w:val="none" w:sz="0" w:space="0" w:color="auto"/>
            <w:left w:val="none" w:sz="0" w:space="0" w:color="auto"/>
            <w:bottom w:val="none" w:sz="0" w:space="0" w:color="auto"/>
            <w:right w:val="none" w:sz="0" w:space="0" w:color="auto"/>
          </w:divBdr>
          <w:divsChild>
            <w:div w:id="160669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713752">
      <w:bodyDiv w:val="1"/>
      <w:marLeft w:val="0"/>
      <w:marRight w:val="0"/>
      <w:marTop w:val="0"/>
      <w:marBottom w:val="0"/>
      <w:divBdr>
        <w:top w:val="none" w:sz="0" w:space="0" w:color="auto"/>
        <w:left w:val="none" w:sz="0" w:space="0" w:color="auto"/>
        <w:bottom w:val="none" w:sz="0" w:space="0" w:color="auto"/>
        <w:right w:val="none" w:sz="0" w:space="0" w:color="auto"/>
      </w:divBdr>
    </w:div>
    <w:div w:id="2076854437">
      <w:bodyDiv w:val="1"/>
      <w:marLeft w:val="0"/>
      <w:marRight w:val="0"/>
      <w:marTop w:val="0"/>
      <w:marBottom w:val="0"/>
      <w:divBdr>
        <w:top w:val="none" w:sz="0" w:space="0" w:color="auto"/>
        <w:left w:val="none" w:sz="0" w:space="0" w:color="auto"/>
        <w:bottom w:val="none" w:sz="0" w:space="0" w:color="auto"/>
        <w:right w:val="none" w:sz="0" w:space="0" w:color="auto"/>
      </w:divBdr>
    </w:div>
    <w:div w:id="2100589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scanaconus.com/products/acid-metal-separation/" TargetMode="External"/><Relationship Id="rId4" Type="http://schemas.openxmlformats.org/officeDocument/2006/relationships/hyperlink" Target="https://scanaconus.com/products/acid-metal-separ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287</Words>
  <Characters>1637</Characters>
  <Application>Microsoft Office Word</Application>
  <DocSecurity>0</DocSecurity>
  <Lines>13</Lines>
  <Paragraphs>3</Paragraphs>
  <ScaleCrop>false</ScaleCrop>
  <Company/>
  <LinksUpToDate>false</LinksUpToDate>
  <CharactersWithSpaces>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2025-01-27T11:21:00Z</dcterms:created>
  <dcterms:modified xsi:type="dcterms:W3CDTF">2025-01-27T11:36:00Z</dcterms:modified>
</cp:coreProperties>
</file>